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Lines="100" w:afterLines="100"/>
        <w:jc w:val="center"/>
        <w:rPr>
          <w:b/>
          <w:bCs/>
          <w:sz w:val="36"/>
          <w:szCs w:val="28"/>
        </w:rPr>
      </w:pPr>
      <w:r>
        <w:rPr>
          <w:rFonts w:hint="eastAsia"/>
          <w:b/>
          <w:bCs/>
          <w:sz w:val="36"/>
          <w:szCs w:val="28"/>
        </w:rPr>
        <w:t xml:space="preserve">  餐厅食品加工制作过程卫生管理制度</w:t>
      </w:r>
      <w:bookmarkStart w:id="0" w:name="_GoBack"/>
      <w:bookmarkEnd w:id="0"/>
    </w:p>
    <w:p>
      <w:pPr>
        <w:ind w:firstLine="420" w:firstLineChars="200"/>
      </w:pPr>
      <w:r>
        <w:rPr>
          <w:rFonts w:hint="eastAsia"/>
        </w:rPr>
        <w:t>1．烹调前应认真检查待加工食品。发现有腐败变质或者其它感官性状异常的，不得进行烹调加工。不得将回收后的食品(包括辅料)经烹调加工后再次供应。</w:t>
      </w:r>
    </w:p>
    <w:p>
      <w:r>
        <w:rPr>
          <w:rFonts w:hint="eastAsia"/>
        </w:rPr>
        <w:t xml:space="preserve">    2．炒、烧食品要勤翻动。块状食品必须充分加热，烧熟煮透，防止外熟内生；食物中心温度必须高于70℃。</w:t>
      </w:r>
    </w:p>
    <w:p>
      <w:r>
        <w:rPr>
          <w:rFonts w:hint="eastAsia"/>
        </w:rPr>
        <w:t xml:space="preserve">    3．加工后的成品应与半成品、原料分开存放。需要冷藏的熟制品，应尽快冷却后再冷藏。</w:t>
      </w:r>
    </w:p>
    <w:p>
      <w:r>
        <w:rPr>
          <w:rFonts w:hint="eastAsia"/>
        </w:rPr>
        <w:t xml:space="preserve">    4．隔夜、隔餐及外购熟食要回锅彻底加热后才能供应。</w:t>
      </w:r>
    </w:p>
    <w:p>
      <w:r>
        <w:rPr>
          <w:rFonts w:hint="eastAsia"/>
        </w:rPr>
        <w:t xml:space="preserve">    5．不选用、不切配、不烹调、不出售腐败、变质、有毒有害的食品。</w:t>
      </w:r>
    </w:p>
    <w:p>
      <w:r>
        <w:rPr>
          <w:rFonts w:hint="eastAsia"/>
        </w:rPr>
        <w:t xml:space="preserve">    6．加工用工具、容器、设备必须经常清洗，保持清洁，刀、砧板、盆、抹布用后须清洗消毒；直接接触食品的加工用具、容器必须彻底消毒。</w:t>
      </w:r>
    </w:p>
    <w:p>
      <w:r>
        <w:rPr>
          <w:rFonts w:hint="eastAsia"/>
        </w:rPr>
        <w:t xml:space="preserve">    7．食品需要造型时必须使用经消毒的工用具，食品容器应放入专用保洁柜内，不落地存放。</w:t>
      </w:r>
    </w:p>
    <w:p>
      <w:r>
        <w:rPr>
          <w:rFonts w:hint="eastAsia"/>
        </w:rPr>
        <w:t xml:space="preserve">    8．食品制作时，如需使用食品添加剂的，必须严格执行国家《食品添加剂使用卫生标准》。</w:t>
      </w:r>
    </w:p>
    <w:p>
      <w:r>
        <w:rPr>
          <w:rFonts w:hint="eastAsia"/>
        </w:rPr>
        <w:t xml:space="preserve">    9．工作结束后，调料要加盖。做好工具、容器、灶上灶下、地面墙面的清洁卫生工作。</w:t>
      </w:r>
    </w:p>
    <w:p>
      <w:r>
        <w:rPr>
          <w:rFonts w:hint="eastAsia"/>
        </w:rPr>
        <w:t xml:space="preserve">    10．备餐间及出菜通道要洁净，不能堆放任何杂物。备餐间(台)只能存放直接入口食品及必需用的食具、工用具。调味品应存放在专用柜内。</w:t>
      </w:r>
    </w:p>
    <w:p>
      <w:r>
        <w:rPr>
          <w:rFonts w:hint="eastAsia"/>
        </w:rPr>
        <w:t xml:space="preserve">    11．加工场所“三防”、更衣和排污设施以及废弃物处理等应符合相关要求，废弃油脂管理符合有关规定。</w:t>
      </w:r>
    </w:p>
    <w:p>
      <w:r>
        <w:rPr>
          <w:rFonts w:hint="eastAsia"/>
        </w:rPr>
        <w:t xml:space="preserve">    12．运输成品要有专用带盖的运输车(箱)，运输车(箱)要进行清洗、消毒，禁止露空运输。</w:t>
      </w:r>
    </w:p>
    <w:p>
      <w:pPr>
        <w:ind w:firstLine="435"/>
      </w:pPr>
      <w:r>
        <w:rPr>
          <w:rFonts w:hint="eastAsia"/>
        </w:rPr>
        <w:t>13．烹调废弃油脂应由专业的公司回收，餐厅管理者应了解回收公司的资质及废油回收后的用途，并应与该回收公司签订写有“废弃油脂不能用于食品加工”的合同，做好每次清理工作的记录和签收。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E59FA"/>
    <w:rsid w:val="001E1FE3"/>
    <w:rsid w:val="003E59FA"/>
    <w:rsid w:val="00AE618F"/>
    <w:rsid w:val="00E31B3F"/>
    <w:rsid w:val="00ED7470"/>
    <w:rsid w:val="59B90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654</Words>
  <Characters>659</Characters>
  <Lines>5</Lines>
  <Paragraphs>1</Paragraphs>
  <TotalTime>10</TotalTime>
  <ScaleCrop>false</ScaleCrop>
  <LinksUpToDate>false</LinksUpToDate>
  <CharactersWithSpaces>705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2017-10-02T04:42:00Z</dcterms:created>
  <dc:creator>微软用户</dc:creator>
  <cp:lastModifiedBy>餐饮人周明</cp:lastModifiedBy>
  <dcterms:modified xsi:type="dcterms:W3CDTF">2022-04-19T09:28:05Z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mondata">
    <vt:lpwstr>eyJoZGlkIjoiMzM0MDU4ZTQ5NWU2NjkyN2QxZjRjOGM2MzM2M2IwMTQifQ==</vt:lpwstr>
  </property>
  <property fmtid="{D5CDD505-2E9C-101B-9397-08002B2CF9AE}" pid="3" name="KSOProductBuildVer">
    <vt:lpwstr>2052-11.1.0.11636</vt:lpwstr>
  </property>
  <property fmtid="{D5CDD505-2E9C-101B-9397-08002B2CF9AE}" pid="4" name="ICV">
    <vt:lpwstr>6CB60748BFD8464792D876091076CC6C</vt:lpwstr>
  </property>
</Properties>
</file>